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DADE" w14:textId="77777777" w:rsidR="00004C0C" w:rsidRDefault="00004C0C" w:rsidP="007E1FEE">
      <w:pPr>
        <w:rPr>
          <w:b/>
        </w:rPr>
      </w:pPr>
    </w:p>
    <w:p w14:paraId="32E06817" w14:textId="77777777" w:rsidR="00004C0C" w:rsidRDefault="00004C0C" w:rsidP="00004C0C">
      <w:pPr>
        <w:jc w:val="center"/>
        <w:rPr>
          <w:b/>
        </w:rPr>
      </w:pPr>
      <w:r>
        <w:rPr>
          <w:b/>
        </w:rPr>
        <w:t>Sprintax Suggested Content for School Tax Page:</w:t>
      </w:r>
    </w:p>
    <w:p w14:paraId="6606147E" w14:textId="77777777" w:rsidR="00004C0C" w:rsidRDefault="00004C0C" w:rsidP="007E1FEE">
      <w:pPr>
        <w:rPr>
          <w:b/>
        </w:rPr>
      </w:pPr>
    </w:p>
    <w:p w14:paraId="124D1352" w14:textId="77777777" w:rsidR="007E1FEE" w:rsidRPr="00113D95" w:rsidRDefault="000C7E90" w:rsidP="007E1FEE">
      <w:pPr>
        <w:rPr>
          <w:b/>
        </w:rPr>
      </w:pPr>
      <w:r>
        <w:rPr>
          <w:b/>
        </w:rPr>
        <w:t>Who must file tax forms for 2020</w:t>
      </w:r>
      <w:r w:rsidR="007E1FEE" w:rsidRPr="00113D95">
        <w:rPr>
          <w:b/>
        </w:rPr>
        <w:t xml:space="preserve"> tax season?</w:t>
      </w:r>
    </w:p>
    <w:p w14:paraId="31EAF9B2" w14:textId="77777777" w:rsidR="002469FE" w:rsidRDefault="002469FE" w:rsidP="000E5899">
      <w:r>
        <w:t>E</w:t>
      </w:r>
      <w:r w:rsidRPr="00113D95">
        <w:t>ven if you</w:t>
      </w:r>
      <w:r>
        <w:t xml:space="preserve"> did not earn any income, i</w:t>
      </w:r>
      <w:r w:rsidR="007E1FEE" w:rsidRPr="00113D95">
        <w:t>f you were physically in the US</w:t>
      </w:r>
      <w:r>
        <w:t xml:space="preserve"> o</w:t>
      </w:r>
      <w:r w:rsidR="007E1FEE" w:rsidRPr="00113D95">
        <w:t>n F or J status anytime betwe</w:t>
      </w:r>
      <w:r w:rsidR="007E1FEE">
        <w:t xml:space="preserve">en </w:t>
      </w:r>
      <w:r>
        <w:t xml:space="preserve">1 </w:t>
      </w:r>
      <w:r w:rsidR="007E1FEE">
        <w:t xml:space="preserve">January </w:t>
      </w:r>
      <w:r>
        <w:t>–</w:t>
      </w:r>
      <w:r w:rsidR="007E1FEE">
        <w:t xml:space="preserve"> </w:t>
      </w:r>
      <w:r>
        <w:t xml:space="preserve">31 </w:t>
      </w:r>
      <w:r w:rsidR="007E1FEE">
        <w:t xml:space="preserve">December </w:t>
      </w:r>
      <w:r w:rsidR="00025966">
        <w:t>2020</w:t>
      </w:r>
      <w:r>
        <w:t>,</w:t>
      </w:r>
      <w:r w:rsidR="007E1FEE" w:rsidRPr="00113D95">
        <w:t xml:space="preserve"> you're obligated to </w:t>
      </w:r>
      <w:r>
        <w:t>file a Form 8843 with the</w:t>
      </w:r>
      <w:r w:rsidR="007E1FEE" w:rsidRPr="00113D95">
        <w:t xml:space="preserve"> IRS (</w:t>
      </w:r>
      <w:r>
        <w:t xml:space="preserve">the </w:t>
      </w:r>
      <w:r w:rsidR="007E1FEE" w:rsidRPr="00113D95">
        <w:t>Internal Revenue Service</w:t>
      </w:r>
      <w:r>
        <w:t>, or ‘IRS’, are the US tax authorities</w:t>
      </w:r>
      <w:r w:rsidR="007E1FEE" w:rsidRPr="00113D95">
        <w:t>).</w:t>
      </w:r>
      <w:r w:rsidR="007E1FEE">
        <w:t xml:space="preserve"> </w:t>
      </w:r>
    </w:p>
    <w:p w14:paraId="1E79F164" w14:textId="77777777" w:rsidR="007E1FEE" w:rsidRPr="007E1FEE" w:rsidRDefault="002469FE" w:rsidP="000E5899">
      <w:r>
        <w:t>Meanwhile, if you earned more than</w:t>
      </w:r>
      <w:r w:rsidR="00BE4736">
        <w:t xml:space="preserve"> </w:t>
      </w:r>
      <w:r w:rsidR="00192430">
        <w:t>$0</w:t>
      </w:r>
      <w:r w:rsidR="00BE4736">
        <w:t xml:space="preserve"> of </w:t>
      </w:r>
      <w:r w:rsidR="00025966">
        <w:t xml:space="preserve">taxable </w:t>
      </w:r>
      <w:r w:rsidR="00BE4736">
        <w:t>US source income</w:t>
      </w:r>
      <w:r w:rsidR="007E1FEE">
        <w:t>, you may need to file a federal tax return with the IRS. Depending on your individual circumstances, you may also need to file a state tax return(s).</w:t>
      </w:r>
      <w:r w:rsidR="00794B9C">
        <w:t xml:space="preserve"> </w:t>
      </w:r>
    </w:p>
    <w:p w14:paraId="472E46FE" w14:textId="77777777" w:rsidR="00794B9C" w:rsidRPr="00794B9C" w:rsidRDefault="00004C0C" w:rsidP="00794B9C">
      <w:pPr>
        <w:rPr>
          <w:b/>
        </w:rPr>
      </w:pPr>
      <w:r>
        <w:rPr>
          <w:b/>
        </w:rPr>
        <w:t>Tax Filing Deadline</w:t>
      </w:r>
      <w:r w:rsidR="00794B9C" w:rsidRPr="00794B9C">
        <w:rPr>
          <w:b/>
        </w:rPr>
        <w:t>:</w:t>
      </w:r>
    </w:p>
    <w:p w14:paraId="55666AEB" w14:textId="77777777" w:rsidR="00794B9C" w:rsidRDefault="00BE2503" w:rsidP="00794B9C">
      <w:r>
        <w:t xml:space="preserve">15 </w:t>
      </w:r>
      <w:r w:rsidR="00025966">
        <w:t>April 2021</w:t>
      </w:r>
      <w:r w:rsidR="00794B9C" w:rsidRPr="00794B9C">
        <w:t xml:space="preserve"> is the</w:t>
      </w:r>
      <w:r>
        <w:t xml:space="preserve"> last day for residents and </w:t>
      </w:r>
      <w:proofErr w:type="spellStart"/>
      <w:r>
        <w:t>non</w:t>
      </w:r>
      <w:r w:rsidR="00794B9C" w:rsidRPr="00794B9C">
        <w:t>residents</w:t>
      </w:r>
      <w:proofErr w:type="spellEnd"/>
      <w:r w:rsidR="00794B9C" w:rsidRPr="00794B9C">
        <w:t xml:space="preserve"> who earned US income to f</w:t>
      </w:r>
      <w:r w:rsidR="00025966">
        <w:t>ile Federal tax returns for</w:t>
      </w:r>
      <w:r>
        <w:t xml:space="preserve"> the</w:t>
      </w:r>
      <w:r w:rsidR="00025966">
        <w:t xml:space="preserve"> 2020</w:t>
      </w:r>
      <w:r>
        <w:t xml:space="preserve"> tax year</w:t>
      </w:r>
      <w:r w:rsidR="00794B9C" w:rsidRPr="00794B9C">
        <w:t>.</w:t>
      </w:r>
    </w:p>
    <w:p w14:paraId="5520A1BF" w14:textId="77777777" w:rsidR="00531237" w:rsidRPr="00531237" w:rsidRDefault="00BE2503" w:rsidP="000E5899">
      <w:pPr>
        <w:rPr>
          <w:b/>
          <w:iCs/>
        </w:rPr>
      </w:pPr>
      <w:r>
        <w:rPr>
          <w:b/>
          <w:iCs/>
        </w:rPr>
        <w:t xml:space="preserve">Who is considered </w:t>
      </w:r>
      <w:r w:rsidR="00531237" w:rsidRPr="00531237">
        <w:rPr>
          <w:b/>
          <w:iCs/>
        </w:rPr>
        <w:t>Re</w:t>
      </w:r>
      <w:r>
        <w:rPr>
          <w:b/>
          <w:iCs/>
        </w:rPr>
        <w:t xml:space="preserve">sident or </w:t>
      </w:r>
      <w:proofErr w:type="spellStart"/>
      <w:r>
        <w:rPr>
          <w:b/>
          <w:iCs/>
        </w:rPr>
        <w:t>Nonr</w:t>
      </w:r>
      <w:r w:rsidR="00531237" w:rsidRPr="00531237">
        <w:rPr>
          <w:b/>
          <w:iCs/>
        </w:rPr>
        <w:t>esident</w:t>
      </w:r>
      <w:proofErr w:type="spellEnd"/>
      <w:r w:rsidR="00531237" w:rsidRPr="00531237">
        <w:rPr>
          <w:b/>
          <w:iCs/>
        </w:rPr>
        <w:t xml:space="preserve"> for </w:t>
      </w:r>
      <w:r w:rsidR="00531237">
        <w:rPr>
          <w:b/>
          <w:iCs/>
        </w:rPr>
        <w:t xml:space="preserve">Federal </w:t>
      </w:r>
      <w:r w:rsidR="00531237" w:rsidRPr="00531237">
        <w:rPr>
          <w:b/>
          <w:iCs/>
        </w:rPr>
        <w:t>Tax Purposes:</w:t>
      </w:r>
    </w:p>
    <w:p w14:paraId="5FE9F733" w14:textId="77777777" w:rsidR="00F00587" w:rsidRDefault="00A97655" w:rsidP="000E5899">
      <w:r w:rsidRPr="000E5899">
        <w:rPr>
          <w:i/>
          <w:iCs/>
        </w:rPr>
        <w:t>Generally</w:t>
      </w:r>
      <w:r w:rsidRPr="000E5899">
        <w:t>, most international students &amp; scholars who are on </w:t>
      </w:r>
      <w:r w:rsidRPr="000E5899">
        <w:rPr>
          <w:b/>
          <w:bCs/>
        </w:rPr>
        <w:t>F</w:t>
      </w:r>
      <w:r w:rsidRPr="000E5899">
        <w:t xml:space="preserve">, </w:t>
      </w:r>
      <w:r w:rsidRPr="000E5899">
        <w:rPr>
          <w:b/>
          <w:bCs/>
        </w:rPr>
        <w:t>J</w:t>
      </w:r>
      <w:r w:rsidRPr="000E5899">
        <w:t xml:space="preserve">, </w:t>
      </w:r>
      <w:r w:rsidRPr="000E5899">
        <w:rPr>
          <w:b/>
          <w:bCs/>
        </w:rPr>
        <w:t>M</w:t>
      </w:r>
      <w:r w:rsidRPr="000E5899">
        <w:t xml:space="preserve"> or </w:t>
      </w:r>
      <w:r w:rsidRPr="000E5899">
        <w:rPr>
          <w:b/>
          <w:bCs/>
        </w:rPr>
        <w:t>Q visas</w:t>
      </w:r>
      <w:r w:rsidRPr="000E5899">
        <w:t xml:space="preserve"> are considered </w:t>
      </w:r>
      <w:proofErr w:type="spellStart"/>
      <w:r w:rsidRPr="000E5899">
        <w:rPr>
          <w:b/>
          <w:bCs/>
        </w:rPr>
        <w:t>nonresident</w:t>
      </w:r>
      <w:r w:rsidR="000E5899">
        <w:rPr>
          <w:b/>
          <w:bCs/>
        </w:rPr>
        <w:t>s</w:t>
      </w:r>
      <w:proofErr w:type="spellEnd"/>
      <w:r w:rsidRPr="000E5899">
        <w:rPr>
          <w:b/>
          <w:bCs/>
        </w:rPr>
        <w:t xml:space="preserve"> for tax purposes</w:t>
      </w:r>
      <w:r w:rsidRPr="000E5899">
        <w:t>.</w:t>
      </w:r>
      <w:r w:rsidR="000E5899">
        <w:t xml:space="preserve"> </w:t>
      </w:r>
      <w:r w:rsidRPr="000E5899">
        <w:t>International undergraduate students on J</w:t>
      </w:r>
      <w:r w:rsidR="00BE2503">
        <w:t>-</w:t>
      </w:r>
      <w:r w:rsidRPr="000E5899">
        <w:t>1 &amp; F</w:t>
      </w:r>
      <w:r w:rsidR="00BE2503">
        <w:t>-</w:t>
      </w:r>
      <w:r w:rsidRPr="000E5899">
        <w:t xml:space="preserve">1 visas are automatically considered </w:t>
      </w:r>
      <w:proofErr w:type="spellStart"/>
      <w:r w:rsidRPr="000E5899">
        <w:t>non</w:t>
      </w:r>
      <w:r w:rsidR="00BE2503">
        <w:t>resident</w:t>
      </w:r>
      <w:proofErr w:type="spellEnd"/>
      <w:r w:rsidR="00BE2503">
        <w:t xml:space="preserve"> for their first five</w:t>
      </w:r>
      <w:r w:rsidRPr="000E5899">
        <w:t xml:space="preserve"> calendar years in the US</w:t>
      </w:r>
      <w:r w:rsidR="00113D95">
        <w:t>,</w:t>
      </w:r>
      <w:r w:rsidR="000E5899">
        <w:t xml:space="preserve"> whilst </w:t>
      </w:r>
      <w:r w:rsidRPr="000E5899">
        <w:t xml:space="preserve">Scholars/Researchers on J visas are automatically considered </w:t>
      </w:r>
      <w:proofErr w:type="spellStart"/>
      <w:r w:rsidRPr="000E5899">
        <w:t>non</w:t>
      </w:r>
      <w:r w:rsidR="00BE2503">
        <w:t>residents</w:t>
      </w:r>
      <w:proofErr w:type="spellEnd"/>
      <w:r w:rsidR="00BE2503">
        <w:t xml:space="preserve"> for two</w:t>
      </w:r>
      <w:r w:rsidRPr="000E5899">
        <w:t xml:space="preserve"> out of the last </w:t>
      </w:r>
      <w:r w:rsidR="00BE2503">
        <w:t>six</w:t>
      </w:r>
      <w:r w:rsidRPr="000E5899">
        <w:t xml:space="preserve"> calendar years in the US</w:t>
      </w:r>
      <w:r w:rsidR="000E5899">
        <w:t xml:space="preserve">. </w:t>
      </w:r>
      <w:r w:rsidRPr="000E5899">
        <w:t xml:space="preserve">If you’ve been in the US for longer than the </w:t>
      </w:r>
      <w:r w:rsidR="00BE2503">
        <w:t>five</w:t>
      </w:r>
      <w:r w:rsidRPr="000E5899">
        <w:t xml:space="preserve"> or </w:t>
      </w:r>
      <w:r w:rsidR="00BE2503">
        <w:t>two</w:t>
      </w:r>
      <w:r w:rsidRPr="000E5899">
        <w:t xml:space="preserve"> year periods, the </w:t>
      </w:r>
      <w:hyperlink r:id="rId7" w:history="1">
        <w:r w:rsidRPr="000E5899">
          <w:rPr>
            <w:rStyle w:val="Hyperlink"/>
            <w:b/>
            <w:bCs/>
          </w:rPr>
          <w:t>Substantial Presence Test</w:t>
        </w:r>
      </w:hyperlink>
      <w:r w:rsidRPr="000E5899">
        <w:t xml:space="preserve"> will determine your tax residency.</w:t>
      </w:r>
    </w:p>
    <w:p w14:paraId="2DBD3F10" w14:textId="77777777" w:rsidR="00E2408D" w:rsidRDefault="00E2408D" w:rsidP="00E2408D">
      <w:pPr>
        <w:rPr>
          <w:b/>
          <w:iCs/>
        </w:rPr>
      </w:pPr>
      <w:r>
        <w:rPr>
          <w:b/>
          <w:iCs/>
        </w:rPr>
        <w:t>How to File:</w:t>
      </w:r>
    </w:p>
    <w:p w14:paraId="502912FE" w14:textId="53E954CE" w:rsidR="00E2408D" w:rsidRDefault="00E2408D" w:rsidP="00E2408D">
      <w:pPr>
        <w:rPr>
          <w:b/>
          <w:iCs/>
        </w:rPr>
      </w:pPr>
      <w:r w:rsidRPr="00E2408D">
        <w:rPr>
          <w:iCs/>
        </w:rPr>
        <w:t xml:space="preserve">We have teamed up with </w:t>
      </w:r>
      <w:hyperlink r:id="rId8" w:history="1">
        <w:r w:rsidRPr="00631B72">
          <w:rPr>
            <w:rStyle w:val="Hyperlink"/>
            <w:iCs/>
          </w:rPr>
          <w:t>Sprintax</w:t>
        </w:r>
      </w:hyperlink>
      <w:r w:rsidR="005F1809">
        <w:rPr>
          <w:iCs/>
        </w:rPr>
        <w:t xml:space="preserve"> </w:t>
      </w:r>
      <w:r w:rsidRPr="00E2408D">
        <w:rPr>
          <w:iCs/>
        </w:rPr>
        <w:t xml:space="preserve">to provide you with </w:t>
      </w:r>
      <w:r w:rsidR="00BE2503">
        <w:rPr>
          <w:iCs/>
        </w:rPr>
        <w:t xml:space="preserve">an </w:t>
      </w:r>
      <w:r w:rsidRPr="00E2408D">
        <w:rPr>
          <w:iCs/>
        </w:rPr>
        <w:t xml:space="preserve">easy-to-use tax preparation software designed for </w:t>
      </w:r>
      <w:proofErr w:type="spellStart"/>
      <w:r w:rsidRPr="00E2408D">
        <w:rPr>
          <w:iCs/>
        </w:rPr>
        <w:t>n</w:t>
      </w:r>
      <w:r>
        <w:rPr>
          <w:iCs/>
        </w:rPr>
        <w:t>onresident</w:t>
      </w:r>
      <w:proofErr w:type="spellEnd"/>
      <w:r>
        <w:rPr>
          <w:iCs/>
        </w:rPr>
        <w:t xml:space="preserve"> students and scholars </w:t>
      </w:r>
      <w:r w:rsidRPr="00E2408D">
        <w:rPr>
          <w:iCs/>
        </w:rPr>
        <w:t xml:space="preserve">in the US. </w:t>
      </w:r>
      <w:r>
        <w:rPr>
          <w:b/>
          <w:iCs/>
        </w:rPr>
        <w:t>We (and</w:t>
      </w:r>
      <w:r w:rsidRPr="00E2408D">
        <w:rPr>
          <w:b/>
          <w:iCs/>
        </w:rPr>
        <w:t xml:space="preserve"> all other university staff) are not qualified or allowed to provide individual tax advice.</w:t>
      </w:r>
    </w:p>
    <w:p w14:paraId="52CA6D5E" w14:textId="46AD69B9" w:rsidR="003F2FA9" w:rsidRDefault="00BE2503" w:rsidP="00794B9C">
      <w:r>
        <w:t xml:space="preserve">After you login to </w:t>
      </w:r>
      <w:hyperlink r:id="rId9" w:history="1">
        <w:r w:rsidRPr="00631B72">
          <w:rPr>
            <w:rStyle w:val="Hyperlink"/>
          </w:rPr>
          <w:t>Sprintax</w:t>
        </w:r>
      </w:hyperlink>
      <w:r>
        <w:t xml:space="preserve">, you </w:t>
      </w:r>
      <w:r w:rsidR="00794B9C" w:rsidRPr="00531237">
        <w:t>will</w:t>
      </w:r>
      <w:r>
        <w:t xml:space="preserve"> be</w:t>
      </w:r>
      <w:r w:rsidR="00794B9C" w:rsidRPr="00531237">
        <w:t xml:space="preserve"> ask</w:t>
      </w:r>
      <w:r>
        <w:t>ed</w:t>
      </w:r>
      <w:r w:rsidR="00794B9C" w:rsidRPr="00531237">
        <w:t xml:space="preserve"> a series of questions about the time you have spent in the U</w:t>
      </w:r>
      <w:r>
        <w:t>S over recent years</w:t>
      </w:r>
      <w:r w:rsidR="00794B9C" w:rsidRPr="00531237">
        <w:t xml:space="preserve">. </w:t>
      </w:r>
      <w:hyperlink r:id="rId10" w:history="1">
        <w:r w:rsidR="00794B9C" w:rsidRPr="00631B72">
          <w:rPr>
            <w:rStyle w:val="Hyperlink"/>
          </w:rPr>
          <w:t>Sprintax</w:t>
        </w:r>
      </w:hyperlink>
      <w:r w:rsidR="00794B9C" w:rsidRPr="00531237">
        <w:t xml:space="preserve"> will then determine your tax status. If it determines that you are a "</w:t>
      </w:r>
      <w:proofErr w:type="spellStart"/>
      <w:r w:rsidR="00794B9C" w:rsidRPr="00531237">
        <w:t>nonresident</w:t>
      </w:r>
      <w:proofErr w:type="spellEnd"/>
      <w:r w:rsidR="00794B9C" w:rsidRPr="00531237">
        <w:t xml:space="preserve"> alien" (NRA) for federal tax pur</w:t>
      </w:r>
      <w:r w:rsidR="003F2FA9">
        <w:t xml:space="preserve">poses, you can continue to use </w:t>
      </w:r>
      <w:r w:rsidR="00794B9C" w:rsidRPr="00531237">
        <w:t>t</w:t>
      </w:r>
      <w:r w:rsidR="003F2FA9">
        <w:t>he software</w:t>
      </w:r>
      <w:r w:rsidR="00794B9C" w:rsidRPr="00531237">
        <w:t xml:space="preserve"> to respond to a series of guided questions. </w:t>
      </w:r>
      <w:hyperlink r:id="rId11" w:history="1">
        <w:r w:rsidR="00794B9C" w:rsidRPr="00631B72">
          <w:rPr>
            <w:rStyle w:val="Hyperlink"/>
          </w:rPr>
          <w:t>Sprintax</w:t>
        </w:r>
      </w:hyperlink>
      <w:r w:rsidR="00794B9C" w:rsidRPr="00531237">
        <w:t xml:space="preserve"> will </w:t>
      </w:r>
      <w:r w:rsidR="003F2FA9">
        <w:t xml:space="preserve">then </w:t>
      </w:r>
      <w:r w:rsidR="00794B9C" w:rsidRPr="00531237">
        <w:t xml:space="preserve">complete and generate the </w:t>
      </w:r>
      <w:r w:rsidR="00A412FF">
        <w:t xml:space="preserve">tax </w:t>
      </w:r>
      <w:r w:rsidR="00794B9C" w:rsidRPr="00531237">
        <w:t xml:space="preserve">forms you need to </w:t>
      </w:r>
      <w:r w:rsidR="00A412FF">
        <w:t>send to the tax authorities</w:t>
      </w:r>
      <w:r w:rsidR="00794B9C">
        <w:t xml:space="preserve">. </w:t>
      </w:r>
    </w:p>
    <w:p w14:paraId="3AD299D9" w14:textId="5C4A1F03" w:rsidR="00794B9C" w:rsidRDefault="003F2FA9" w:rsidP="00794B9C">
      <w:r>
        <w:t xml:space="preserve">However, if </w:t>
      </w:r>
      <w:hyperlink r:id="rId12" w:history="1">
        <w:r w:rsidRPr="00631B72">
          <w:rPr>
            <w:rStyle w:val="Hyperlink"/>
          </w:rPr>
          <w:t>Sprintax</w:t>
        </w:r>
      </w:hyperlink>
      <w:r w:rsidR="00794B9C" w:rsidRPr="00531237">
        <w:t xml:space="preserve"> determines</w:t>
      </w:r>
      <w:r>
        <w:t xml:space="preserve"> that</w:t>
      </w:r>
      <w:r w:rsidR="00794B9C" w:rsidRPr="00531237">
        <w:t xml:space="preserve"> you are a resident alien for federal tax purposes, you won</w:t>
      </w:r>
      <w:r w:rsidR="00794B9C">
        <w:t>'t be able to continue using the software.</w:t>
      </w:r>
    </w:p>
    <w:p w14:paraId="3C64E67C" w14:textId="77777777" w:rsidR="000F549C" w:rsidRPr="007E1FEE" w:rsidRDefault="00794B9C" w:rsidP="000F549C">
      <w:pPr>
        <w:rPr>
          <w:b/>
        </w:rPr>
      </w:pPr>
      <w:r>
        <w:rPr>
          <w:b/>
        </w:rPr>
        <w:t xml:space="preserve">Step by Step guide on </w:t>
      </w:r>
      <w:r w:rsidR="000F549C" w:rsidRPr="007E1FEE">
        <w:rPr>
          <w:b/>
        </w:rPr>
        <w:t xml:space="preserve">How to File Your </w:t>
      </w:r>
      <w:proofErr w:type="spellStart"/>
      <w:r w:rsidR="000F549C" w:rsidRPr="007E1FEE">
        <w:rPr>
          <w:b/>
        </w:rPr>
        <w:t>Non</w:t>
      </w:r>
      <w:r w:rsidR="003F2FA9">
        <w:rPr>
          <w:b/>
        </w:rPr>
        <w:t>r</w:t>
      </w:r>
      <w:r w:rsidR="000F549C" w:rsidRPr="007E1FEE">
        <w:rPr>
          <w:b/>
        </w:rPr>
        <w:t>esident</w:t>
      </w:r>
      <w:proofErr w:type="spellEnd"/>
      <w:r w:rsidR="000F549C" w:rsidRPr="007E1FEE">
        <w:rPr>
          <w:b/>
        </w:rPr>
        <w:t xml:space="preserve"> Tax Forms (F and J)</w:t>
      </w:r>
    </w:p>
    <w:p w14:paraId="05EAF5EC" w14:textId="77777777" w:rsidR="00113D95" w:rsidRDefault="007E1FEE" w:rsidP="000E5899">
      <w:r>
        <w:rPr>
          <w:noProof/>
          <w:lang w:val="en-US"/>
        </w:rPr>
        <w:drawing>
          <wp:inline distT="0" distB="0" distL="0" distR="0" wp14:anchorId="09D8AC5F" wp14:editId="58595D73">
            <wp:extent cx="5731510" cy="923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90E2B" w14:textId="77777777" w:rsidR="000F549C" w:rsidRDefault="000F549C" w:rsidP="000E5899"/>
    <w:p w14:paraId="04D13A47" w14:textId="379EF7EE" w:rsidR="000F549C" w:rsidRPr="007E1FEE" w:rsidRDefault="000F549C" w:rsidP="007E1FEE">
      <w:pPr>
        <w:pStyle w:val="ListParagraph"/>
        <w:numPr>
          <w:ilvl w:val="0"/>
          <w:numId w:val="3"/>
        </w:numPr>
        <w:rPr>
          <w:b/>
        </w:rPr>
      </w:pPr>
      <w:r w:rsidRPr="007E1FEE">
        <w:rPr>
          <w:b/>
        </w:rPr>
        <w:t xml:space="preserve">Gather the documents you may need for </w:t>
      </w:r>
      <w:hyperlink r:id="rId14" w:history="1">
        <w:r w:rsidRPr="00631B72">
          <w:rPr>
            <w:rStyle w:val="Hyperlink"/>
            <w:b/>
          </w:rPr>
          <w:t>Sprintax</w:t>
        </w:r>
      </w:hyperlink>
    </w:p>
    <w:tbl>
      <w:tblPr>
        <w:tblW w:w="8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797"/>
        <w:gridCol w:w="5569"/>
      </w:tblGrid>
      <w:tr w:rsidR="000F549C" w:rsidRPr="000F549C" w14:paraId="3CA35C20" w14:textId="77777777" w:rsidTr="000F549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B5612D" w14:textId="77777777" w:rsidR="000F549C" w:rsidRPr="000F549C" w:rsidRDefault="000F549C" w:rsidP="000F549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5DDBB4" w14:textId="77777777" w:rsidR="000F549C" w:rsidRPr="000F549C" w:rsidRDefault="000F549C" w:rsidP="000F549C">
            <w:r w:rsidRPr="000F549C">
              <w:t>Document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C278DC" w14:textId="77777777" w:rsidR="000F549C" w:rsidRPr="000F549C" w:rsidRDefault="000F549C" w:rsidP="000F549C">
            <w:r w:rsidRPr="000F549C">
              <w:t>Description</w:t>
            </w:r>
          </w:p>
        </w:tc>
      </w:tr>
      <w:tr w:rsidR="000F549C" w:rsidRPr="000F549C" w14:paraId="0CD1FEBE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070C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45E0" w14:textId="77777777" w:rsidR="000F549C" w:rsidRPr="000F549C" w:rsidRDefault="000F549C" w:rsidP="000F549C">
            <w:r w:rsidRPr="000F549C">
              <w:t>Passport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9F82" w14:textId="77777777" w:rsidR="000F549C" w:rsidRPr="000F549C" w:rsidRDefault="000F549C" w:rsidP="000F549C"/>
        </w:tc>
      </w:tr>
      <w:tr w:rsidR="000F549C" w:rsidRPr="000F549C" w14:paraId="01CF50BB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6818F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302E" w14:textId="77777777" w:rsidR="000F549C" w:rsidRPr="000F549C" w:rsidRDefault="000F549C" w:rsidP="000F549C">
            <w:r w:rsidRPr="000F549C">
              <w:t>Visa/Immigration information, including form I-20 (F status) or form DS-2019 (J status)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6177A" w14:textId="77777777" w:rsidR="000F549C" w:rsidRPr="000F549C" w:rsidRDefault="000F549C" w:rsidP="000F549C"/>
        </w:tc>
      </w:tr>
      <w:tr w:rsidR="000F549C" w:rsidRPr="000F549C" w14:paraId="70B69BD0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CC43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0DC47" w14:textId="77777777" w:rsidR="000F549C" w:rsidRPr="000F549C" w:rsidRDefault="000F549C" w:rsidP="000F549C">
            <w:r w:rsidRPr="000F549C">
              <w:t>Social Security or Individual Taxpayer Identification Number (if you have one)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F615A" w14:textId="77777777" w:rsidR="000F549C" w:rsidRPr="000F549C" w:rsidRDefault="000F549C" w:rsidP="000F549C">
            <w:r w:rsidRPr="000F549C">
              <w:t>This is not needed if you had no income and the 8843 is the only form you have to file.</w:t>
            </w:r>
          </w:p>
        </w:tc>
      </w:tr>
      <w:tr w:rsidR="000F549C" w:rsidRPr="000F549C" w14:paraId="34B868F6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6231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  <w:r w:rsidRPr="000F549C"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7AD5E" w14:textId="77777777" w:rsidR="000F549C" w:rsidRPr="000F549C" w:rsidRDefault="000F549C" w:rsidP="000F549C">
            <w:r w:rsidRPr="000F549C">
              <w:t>W-2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2D880" w14:textId="77777777" w:rsidR="000F549C" w:rsidRPr="000F549C" w:rsidRDefault="000F549C" w:rsidP="000F549C">
            <w:r w:rsidRPr="000F549C">
              <w:t xml:space="preserve">This form reports your wage earnings if you worked. If you had more than one </w:t>
            </w:r>
            <w:proofErr w:type="gramStart"/>
            <w:r w:rsidRPr="000F549C">
              <w:t>employer</w:t>
            </w:r>
            <w:proofErr w:type="gramEnd"/>
            <w:r w:rsidRPr="000F549C">
              <w:t xml:space="preserve"> you should get a W-2 from each employer. It is issued by the end of January for the previous year. Make sure all employers from last year have an up-to-date address for you. </w:t>
            </w:r>
          </w:p>
        </w:tc>
      </w:tr>
      <w:tr w:rsidR="000F549C" w:rsidRPr="000F549C" w14:paraId="688472D3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F83A1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  <w:r w:rsidRPr="000F549C"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7E4B" w14:textId="77777777" w:rsidR="000F549C" w:rsidRPr="000F549C" w:rsidRDefault="000F549C" w:rsidP="000F549C">
            <w:r w:rsidRPr="000F549C">
              <w:t>1042-S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F609" w14:textId="77777777" w:rsidR="000F549C" w:rsidRPr="000F549C" w:rsidRDefault="000F549C" w:rsidP="000F549C">
            <w:r w:rsidRPr="000F549C">
              <w:t>This form is used to report:</w:t>
            </w:r>
          </w:p>
          <w:p w14:paraId="30F19B9A" w14:textId="77777777" w:rsidR="000F549C" w:rsidRPr="000F549C" w:rsidRDefault="000F549C" w:rsidP="000F549C">
            <w:pPr>
              <w:numPr>
                <w:ilvl w:val="0"/>
                <w:numId w:val="2"/>
              </w:numPr>
            </w:pPr>
            <w:r w:rsidRPr="000F549C">
              <w:t>stipend, scholarship, fellowship income and travel grants (not tuition reduction or exemption)</w:t>
            </w:r>
          </w:p>
          <w:p w14:paraId="3FEB1EBD" w14:textId="77777777" w:rsidR="000F549C" w:rsidRPr="000F549C" w:rsidRDefault="000F549C" w:rsidP="000F549C">
            <w:pPr>
              <w:numPr>
                <w:ilvl w:val="0"/>
                <w:numId w:val="2"/>
              </w:numPr>
            </w:pPr>
            <w:r w:rsidRPr="000F549C">
              <w:t>income covered by a tax treaty</w:t>
            </w:r>
          </w:p>
          <w:p w14:paraId="3A07108D" w14:textId="77777777" w:rsidR="000F549C" w:rsidRPr="000F549C" w:rsidRDefault="000F549C" w:rsidP="000F549C">
            <w:pPr>
              <w:numPr>
                <w:ilvl w:val="0"/>
                <w:numId w:val="2"/>
              </w:numPr>
            </w:pPr>
            <w:r w:rsidRPr="000F549C">
              <w:t>payment</w:t>
            </w:r>
            <w:r w:rsidR="003F2FA9">
              <w:t xml:space="preserve"> for other types of services (</w:t>
            </w:r>
            <w:proofErr w:type="spellStart"/>
            <w:r w:rsidR="003F2FA9">
              <w:t>e</w:t>
            </w:r>
            <w:r w:rsidRPr="000F549C">
              <w:t>g</w:t>
            </w:r>
            <w:proofErr w:type="spellEnd"/>
            <w:r w:rsidRPr="000F549C">
              <w:t xml:space="preserve"> by the semester as a note-taker)</w:t>
            </w:r>
          </w:p>
          <w:p w14:paraId="3C12CD89" w14:textId="77777777" w:rsidR="000F549C" w:rsidRDefault="000F549C" w:rsidP="000F549C">
            <w:r w:rsidRPr="000F549C">
              <w:t>If you received th</w:t>
            </w:r>
            <w:r w:rsidR="005F1809">
              <w:t>is type of income, the 1042-S</w:t>
            </w:r>
            <w:r w:rsidRPr="000F549C">
              <w:t xml:space="preserve"> w</w:t>
            </w:r>
            <w:r w:rsidR="00025966">
              <w:t xml:space="preserve">ill be mailed to you by </w:t>
            </w:r>
            <w:r w:rsidR="003F2FA9">
              <w:t xml:space="preserve">15 </w:t>
            </w:r>
            <w:r w:rsidR="00025966">
              <w:t>March</w:t>
            </w:r>
            <w:r w:rsidRPr="000F549C">
              <w:t xml:space="preserve"> by the payer. </w:t>
            </w:r>
          </w:p>
          <w:p w14:paraId="3863D238" w14:textId="77777777" w:rsidR="000F549C" w:rsidRPr="000F549C" w:rsidRDefault="000F549C" w:rsidP="000F549C">
            <w:r w:rsidRPr="000F549C">
              <w:rPr>
                <w:b/>
                <w:bCs/>
              </w:rPr>
              <w:t>Note: </w:t>
            </w:r>
            <w:r w:rsidR="003F2FA9">
              <w:t xml:space="preserve">Only </w:t>
            </w:r>
            <w:proofErr w:type="spellStart"/>
            <w:r w:rsidR="003F2FA9">
              <w:t>Nonr</w:t>
            </w:r>
            <w:r w:rsidRPr="000F549C">
              <w:t>esident</w:t>
            </w:r>
            <w:proofErr w:type="spellEnd"/>
            <w:r w:rsidRPr="000F549C">
              <w:t xml:space="preserve"> Aliens receive this form. If your tax status changes to a Resident Alien you will not get a 1042-S. Login to Sprintax to check your tax status if you're not sure.</w:t>
            </w:r>
          </w:p>
        </w:tc>
      </w:tr>
      <w:tr w:rsidR="000F549C" w:rsidRPr="000F549C" w14:paraId="6BA2A1E7" w14:textId="77777777" w:rsidTr="00382DD9">
        <w:trPr>
          <w:trHeight w:val="13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099B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49F1" w14:textId="77777777" w:rsidR="000F549C" w:rsidRPr="000F549C" w:rsidRDefault="003F2FA9" w:rsidP="003F2FA9">
            <w:r>
              <w:t>U</w:t>
            </w:r>
            <w:r w:rsidR="000F549C" w:rsidRPr="000F549C">
              <w:t>S entry and exit dates for current and past visits to the US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52BB" w14:textId="77777777" w:rsidR="000F549C" w:rsidRPr="000F549C" w:rsidRDefault="000F549C" w:rsidP="003F2FA9">
            <w:r w:rsidRPr="000F549C">
              <w:t>In addition to passport stamps, y</w:t>
            </w:r>
            <w:r w:rsidR="003F2FA9">
              <w:t xml:space="preserve">ou can review or print your US </w:t>
            </w:r>
            <w:r w:rsidRPr="000F549C">
              <w:t>travel history </w:t>
            </w:r>
            <w:hyperlink r:id="rId15" w:anchor="/history-search" w:tgtFrame="_blank" w:history="1">
              <w:r w:rsidRPr="000F549C">
                <w:rPr>
                  <w:rStyle w:val="Hyperlink"/>
                </w:rPr>
                <w:t>here</w:t>
              </w:r>
            </w:hyperlink>
          </w:p>
        </w:tc>
      </w:tr>
      <w:tr w:rsidR="000F549C" w:rsidRPr="000F549C" w14:paraId="4DB9CE6C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1E91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lastRenderedPageBreak/>
              <w:t>✔</w:t>
            </w:r>
            <w:r w:rsidRPr="000F549C"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800F" w14:textId="77777777" w:rsidR="000F549C" w:rsidRPr="000F549C" w:rsidRDefault="000F549C" w:rsidP="000F549C">
            <w:r w:rsidRPr="000F549C">
              <w:t>1099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A20F" w14:textId="77777777" w:rsidR="000F549C" w:rsidRPr="000F549C" w:rsidRDefault="000F549C" w:rsidP="000F549C">
            <w:r w:rsidRPr="000F549C">
              <w:t>This form reports miscellaneous income. Can be interest on bank accounts, stocks, bonds, dividends, earning through freelance employment</w:t>
            </w:r>
          </w:p>
        </w:tc>
      </w:tr>
      <w:tr w:rsidR="000F549C" w:rsidRPr="000F549C" w14:paraId="272BAA70" w14:textId="77777777" w:rsidTr="000F54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0EF2E" w14:textId="77777777" w:rsidR="000F549C" w:rsidRPr="000F549C" w:rsidRDefault="000F549C" w:rsidP="000F549C">
            <w:r w:rsidRPr="000F549C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B1C5" w14:textId="77777777" w:rsidR="000F549C" w:rsidRPr="000F549C" w:rsidRDefault="000F549C" w:rsidP="000F549C">
            <w:r w:rsidRPr="000F549C">
              <w:t>1098-T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4A85C" w14:textId="77777777" w:rsidR="000F549C" w:rsidRPr="000F549C" w:rsidRDefault="00D03388" w:rsidP="000F549C">
            <w:r>
              <w:t>This form</w:t>
            </w:r>
            <w:r w:rsidR="000F549C" w:rsidRPr="000F549C">
              <w:t xml:space="preserve"> is NOT needed and can NOT be used for a </w:t>
            </w:r>
            <w:proofErr w:type="spellStart"/>
            <w:r w:rsidR="000F549C" w:rsidRPr="000F549C">
              <w:t>nonresident</w:t>
            </w:r>
            <w:proofErr w:type="spellEnd"/>
            <w:r w:rsidR="000F549C" w:rsidRPr="000F549C">
              <w:t xml:space="preserve"> tax return because NRAs are </w:t>
            </w:r>
            <w:r w:rsidR="000F549C" w:rsidRPr="000F549C">
              <w:rPr>
                <w:b/>
                <w:bCs/>
              </w:rPr>
              <w:t>not</w:t>
            </w:r>
            <w:r w:rsidR="000F549C" w:rsidRPr="000F549C">
              <w:t> eligible to claim education expense tax credits.</w:t>
            </w:r>
          </w:p>
        </w:tc>
      </w:tr>
    </w:tbl>
    <w:p w14:paraId="51365C6F" w14:textId="77777777" w:rsidR="005F1809" w:rsidRDefault="005F1809" w:rsidP="005F1809">
      <w:pPr>
        <w:pStyle w:val="ListParagraph"/>
        <w:rPr>
          <w:b/>
        </w:rPr>
      </w:pPr>
    </w:p>
    <w:p w14:paraId="2D84EEAF" w14:textId="77777777" w:rsidR="00113D95" w:rsidRPr="00794B9C" w:rsidRDefault="007E1FEE" w:rsidP="007E1FEE">
      <w:pPr>
        <w:pStyle w:val="ListParagraph"/>
        <w:numPr>
          <w:ilvl w:val="0"/>
          <w:numId w:val="3"/>
        </w:numPr>
        <w:rPr>
          <w:b/>
        </w:rPr>
      </w:pPr>
      <w:r w:rsidRPr="00794B9C">
        <w:rPr>
          <w:b/>
        </w:rPr>
        <w:t>Create a Sprintax Account:</w:t>
      </w:r>
    </w:p>
    <w:p w14:paraId="5FC579AD" w14:textId="67D3FEE1" w:rsidR="005F1809" w:rsidRDefault="007E1FEE" w:rsidP="007E1FEE">
      <w:pPr>
        <w:ind w:left="360"/>
      </w:pPr>
      <w:r>
        <w:t xml:space="preserve">You will receive an email from the international student office providing you with a link to </w:t>
      </w:r>
      <w:hyperlink r:id="rId16" w:history="1">
        <w:r w:rsidRPr="00631B72">
          <w:rPr>
            <w:rStyle w:val="Hyperlink"/>
          </w:rPr>
          <w:t>Sprintax</w:t>
        </w:r>
      </w:hyperlink>
      <w:r>
        <w:t xml:space="preserve"> to set up your account as well as your unique code to use on </w:t>
      </w:r>
      <w:hyperlink r:id="rId17" w:history="1">
        <w:r w:rsidRPr="00631B72">
          <w:rPr>
            <w:rStyle w:val="Hyperlink"/>
          </w:rPr>
          <w:t>Sprintax</w:t>
        </w:r>
      </w:hyperlink>
      <w:r>
        <w:t xml:space="preserve">. </w:t>
      </w:r>
      <w:r w:rsidRPr="007E1FEE">
        <w:rPr>
          <w:b/>
        </w:rPr>
        <w:t xml:space="preserve">This </w:t>
      </w:r>
      <w:r w:rsidR="006D33EA">
        <w:rPr>
          <w:b/>
        </w:rPr>
        <w:t xml:space="preserve">unique </w:t>
      </w:r>
      <w:r w:rsidRPr="007E1FEE">
        <w:rPr>
          <w:b/>
        </w:rPr>
        <w:t>co</w:t>
      </w:r>
      <w:r>
        <w:rPr>
          <w:b/>
        </w:rPr>
        <w:t>de will cover the costs of the f</w:t>
      </w:r>
      <w:r w:rsidRPr="007E1FEE">
        <w:rPr>
          <w:b/>
        </w:rPr>
        <w:t>ederal tax return and 8843 at no cost to you.</w:t>
      </w:r>
      <w:r>
        <w:rPr>
          <w:b/>
        </w:rPr>
        <w:t xml:space="preserve"> </w:t>
      </w:r>
      <w:r w:rsidRPr="007E1FEE">
        <w:t xml:space="preserve">Open your new </w:t>
      </w:r>
      <w:hyperlink r:id="rId18" w:history="1">
        <w:r w:rsidRPr="00631B72">
          <w:rPr>
            <w:rStyle w:val="Hyperlink"/>
          </w:rPr>
          <w:t>Sprintax</w:t>
        </w:r>
      </w:hyperlink>
      <w:r w:rsidRPr="007E1FEE">
        <w:t xml:space="preserve"> account by</w:t>
      </w:r>
      <w:r>
        <w:t xml:space="preserve"> creating a </w:t>
      </w:r>
      <w:proofErr w:type="spellStart"/>
      <w:r>
        <w:t>UserID</w:t>
      </w:r>
      <w:proofErr w:type="spellEnd"/>
      <w:r>
        <w:t xml:space="preserve"> and password or if you have an existing </w:t>
      </w:r>
      <w:r w:rsidR="003F2FA9">
        <w:t xml:space="preserve">account on </w:t>
      </w:r>
      <w:hyperlink r:id="rId19" w:history="1">
        <w:r w:rsidR="003F2FA9" w:rsidRPr="00631B72">
          <w:rPr>
            <w:rStyle w:val="Hyperlink"/>
          </w:rPr>
          <w:t>Sprintax</w:t>
        </w:r>
      </w:hyperlink>
      <w:r w:rsidR="003F2FA9">
        <w:t xml:space="preserve"> you can log</w:t>
      </w:r>
      <w:r>
        <w:t>in using your existing credentials.</w:t>
      </w:r>
    </w:p>
    <w:p w14:paraId="35D9D457" w14:textId="7393E07F" w:rsidR="007E1FEE" w:rsidRPr="007E1FEE" w:rsidRDefault="007E1FEE" w:rsidP="007E1FE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Follow the </w:t>
      </w:r>
      <w:hyperlink r:id="rId20" w:history="1">
        <w:r w:rsidRPr="00631B72">
          <w:rPr>
            <w:rStyle w:val="Hyperlink"/>
            <w:b/>
          </w:rPr>
          <w:t>Sprintax</w:t>
        </w:r>
      </w:hyperlink>
      <w:r w:rsidRPr="007E1FEE">
        <w:rPr>
          <w:b/>
        </w:rPr>
        <w:t xml:space="preserve"> instructions</w:t>
      </w:r>
    </w:p>
    <w:p w14:paraId="00B3D611" w14:textId="419E6C68" w:rsidR="007E1FEE" w:rsidRDefault="003F2FA9" w:rsidP="007E1FEE">
      <w:pPr>
        <w:ind w:left="360"/>
      </w:pPr>
      <w:r>
        <w:t xml:space="preserve">If you did not earn any </w:t>
      </w:r>
      <w:r w:rsidR="007E1FEE">
        <w:t xml:space="preserve">US Income: </w:t>
      </w:r>
      <w:hyperlink r:id="rId21" w:history="1">
        <w:r w:rsidR="007E1FEE" w:rsidRPr="00631B72">
          <w:rPr>
            <w:rStyle w:val="Hyperlink"/>
          </w:rPr>
          <w:t>Sprintax</w:t>
        </w:r>
      </w:hyperlink>
      <w:r w:rsidR="007E1FEE">
        <w:t xml:space="preserve"> will generate a completed Form 8843 for you and each of your dependents (if you have any).</w:t>
      </w:r>
    </w:p>
    <w:p w14:paraId="0E27F018" w14:textId="3A48B8FF" w:rsidR="005F1809" w:rsidRPr="007E1FEE" w:rsidRDefault="003F2FA9" w:rsidP="007E1FEE">
      <w:pPr>
        <w:ind w:left="360"/>
      </w:pPr>
      <w:r>
        <w:t>If you did earn U</w:t>
      </w:r>
      <w:r w:rsidR="007E1FEE">
        <w:t xml:space="preserve">S Income: </w:t>
      </w:r>
      <w:hyperlink r:id="rId22" w:history="1">
        <w:r w:rsidR="007E1FEE" w:rsidRPr="00631B72">
          <w:rPr>
            <w:rStyle w:val="Hyperlink"/>
          </w:rPr>
          <w:t>Sprintax</w:t>
        </w:r>
      </w:hyperlink>
      <w:r w:rsidR="007E1FEE">
        <w:t xml:space="preserve"> will generate your "tax return documents", including either a 1040NR-EZ or a longer form 1040NR, depending on your circumstances. </w:t>
      </w:r>
    </w:p>
    <w:p w14:paraId="2D3278C0" w14:textId="77777777" w:rsidR="007E1FEE" w:rsidRPr="007E1FEE" w:rsidRDefault="007E1FEE" w:rsidP="007E1FEE">
      <w:pPr>
        <w:pStyle w:val="ListParagraph"/>
        <w:numPr>
          <w:ilvl w:val="0"/>
          <w:numId w:val="3"/>
        </w:numPr>
        <w:rPr>
          <w:b/>
        </w:rPr>
      </w:pPr>
      <w:r w:rsidRPr="007E1FEE">
        <w:rPr>
          <w:b/>
        </w:rPr>
        <w:t>(With U.S. income only) If required, complete your state tax return</w:t>
      </w:r>
    </w:p>
    <w:p w14:paraId="044F2D4A" w14:textId="5DBB5D48" w:rsidR="00751484" w:rsidRDefault="007E1FEE" w:rsidP="007E1FEE">
      <w:pPr>
        <w:ind w:left="360"/>
      </w:pPr>
      <w:r>
        <w:t xml:space="preserve">After you finish your federal return, </w:t>
      </w:r>
      <w:hyperlink r:id="rId23" w:history="1">
        <w:r w:rsidRPr="00631B72">
          <w:rPr>
            <w:rStyle w:val="Hyperlink"/>
          </w:rPr>
          <w:t>Sprintax</w:t>
        </w:r>
      </w:hyperlink>
      <w:r>
        <w:t xml:space="preserve"> will inform you if you need to complete a state tax return. If so, </w:t>
      </w:r>
      <w:r w:rsidR="00A30BFE">
        <w:t>you will have</w:t>
      </w:r>
      <w:r>
        <w:t xml:space="preserve"> the option to use </w:t>
      </w:r>
      <w:hyperlink r:id="rId24" w:history="1">
        <w:r w:rsidRPr="00631B72">
          <w:rPr>
            <w:rStyle w:val="Hyperlink"/>
          </w:rPr>
          <w:t>Sprintax</w:t>
        </w:r>
      </w:hyperlink>
      <w:r>
        <w:t xml:space="preserve"> for an </w:t>
      </w:r>
      <w:proofErr w:type="spellStart"/>
      <w:r w:rsidR="00A30BFE">
        <w:t>additonal</w:t>
      </w:r>
      <w:proofErr w:type="spellEnd"/>
      <w:r>
        <w:t xml:space="preserve"> fee. However, it is your choice to use them or to do the state tax return on your own.</w:t>
      </w:r>
    </w:p>
    <w:p w14:paraId="6C892F4F" w14:textId="77777777" w:rsidR="007E1FEE" w:rsidRPr="007E1FEE" w:rsidRDefault="00D2316D" w:rsidP="007E1FE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Read the instructions for filing/mailing your returns</w:t>
      </w:r>
    </w:p>
    <w:p w14:paraId="65E8CD77" w14:textId="45A32E95" w:rsidR="00A30BFE" w:rsidRDefault="00D2316D" w:rsidP="007E1FEE">
      <w:pPr>
        <w:pStyle w:val="ListParagraph"/>
      </w:pPr>
      <w:r>
        <w:t xml:space="preserve">Remember to read the </w:t>
      </w:r>
      <w:r w:rsidR="007E1FEE">
        <w:t>instruct</w:t>
      </w:r>
      <w:r>
        <w:t xml:space="preserve">ions that </w:t>
      </w:r>
      <w:hyperlink r:id="rId25" w:history="1">
        <w:r w:rsidRPr="00631B72">
          <w:rPr>
            <w:rStyle w:val="Hyperlink"/>
          </w:rPr>
          <w:t>Sprintax</w:t>
        </w:r>
      </w:hyperlink>
      <w:r>
        <w:t xml:space="preserve"> provides. </w:t>
      </w:r>
    </w:p>
    <w:p w14:paraId="2F1F35B5" w14:textId="77777777" w:rsidR="00A30BFE" w:rsidRDefault="00A30BFE" w:rsidP="007E1FEE">
      <w:pPr>
        <w:pStyle w:val="ListParagraph"/>
      </w:pPr>
      <w:r>
        <w:t xml:space="preserve">You will be required to download, print and sign your federal tax return and mail it to the IRS. If you have a state filing requirement, you must also mail this to the tax authorities. </w:t>
      </w:r>
    </w:p>
    <w:p w14:paraId="5B5C34AC" w14:textId="77777777" w:rsidR="007E1FEE" w:rsidRDefault="00A30BFE" w:rsidP="00A30BFE">
      <w:pPr>
        <w:pStyle w:val="ListParagraph"/>
      </w:pPr>
      <w:r>
        <w:t xml:space="preserve">Finally, if you only </w:t>
      </w:r>
      <w:r w:rsidR="00D2316D">
        <w:t>need to file Form 8843, this will also need to be mailed to the IRS.</w:t>
      </w:r>
    </w:p>
    <w:p w14:paraId="7B5D951B" w14:textId="276BF663" w:rsidR="007E1FEE" w:rsidRPr="007E1FEE" w:rsidRDefault="007E1FEE" w:rsidP="007E1FEE">
      <w:pPr>
        <w:rPr>
          <w:b/>
        </w:rPr>
      </w:pPr>
      <w:r w:rsidRPr="007E1FEE">
        <w:rPr>
          <w:b/>
        </w:rPr>
        <w:t xml:space="preserve">Need </w:t>
      </w:r>
      <w:hyperlink r:id="rId26" w:history="1">
        <w:r w:rsidRPr="00631B72">
          <w:rPr>
            <w:rStyle w:val="Hyperlink"/>
            <w:b/>
          </w:rPr>
          <w:t>Sprintax</w:t>
        </w:r>
      </w:hyperlink>
      <w:r w:rsidRPr="007E1FEE">
        <w:rPr>
          <w:b/>
        </w:rPr>
        <w:t xml:space="preserve"> Support?</w:t>
      </w:r>
    </w:p>
    <w:p w14:paraId="502E18DB" w14:textId="4290A9C4" w:rsidR="007E1FEE" w:rsidRDefault="007E1FEE" w:rsidP="007E1FEE">
      <w:r>
        <w:t xml:space="preserve">If you need help while using </w:t>
      </w:r>
      <w:hyperlink r:id="rId27" w:history="1">
        <w:r w:rsidRPr="00631B72">
          <w:rPr>
            <w:rStyle w:val="Hyperlink"/>
          </w:rPr>
          <w:t>Sprintax</w:t>
        </w:r>
      </w:hyperlink>
      <w:r>
        <w:t xml:space="preserve">, </w:t>
      </w:r>
      <w:r w:rsidR="00A30BFE">
        <w:t>you can contact their support team using the options below</w:t>
      </w:r>
    </w:p>
    <w:p w14:paraId="137C60B4" w14:textId="739F46B9" w:rsidR="00A30BFE" w:rsidRDefault="00A30BFE" w:rsidP="00A30BFE">
      <w:r>
        <w:t xml:space="preserve">Email - </w:t>
      </w:r>
      <w:hyperlink r:id="rId28" w:history="1">
        <w:r w:rsidR="00631B72" w:rsidRPr="00DD74B0">
          <w:rPr>
            <w:rStyle w:val="Hyperlink"/>
          </w:rPr>
          <w:t>hello@sprintax.com</w:t>
        </w:r>
      </w:hyperlink>
      <w:r w:rsidR="00631B72">
        <w:t xml:space="preserve"> </w:t>
      </w:r>
    </w:p>
    <w:p w14:paraId="25969662" w14:textId="77777777" w:rsidR="007E1FEE" w:rsidRDefault="007E1FEE" w:rsidP="007E1FEE">
      <w:r>
        <w:t>24/7 Live Chat Help</w:t>
      </w:r>
    </w:p>
    <w:p w14:paraId="1D1401E6" w14:textId="4350C2E3" w:rsidR="007E1FEE" w:rsidRDefault="002E4AE9" w:rsidP="007E1FEE">
      <w:hyperlink r:id="rId29" w:history="1">
        <w:r w:rsidR="007E1FEE" w:rsidRPr="00631B72">
          <w:rPr>
            <w:rStyle w:val="Hyperlink"/>
          </w:rPr>
          <w:t>Refer to their FAQs</w:t>
        </w:r>
      </w:hyperlink>
    </w:p>
    <w:p w14:paraId="2399954B" w14:textId="77777777" w:rsidR="000E5899" w:rsidRDefault="000E5899" w:rsidP="000E5899"/>
    <w:p w14:paraId="560135B0" w14:textId="665FD037" w:rsidR="00E2408D" w:rsidRPr="00E2408D" w:rsidRDefault="002E4AE9" w:rsidP="000E5899">
      <w:pPr>
        <w:rPr>
          <w:b/>
        </w:rPr>
      </w:pPr>
      <w:hyperlink r:id="rId30" w:history="1">
        <w:r w:rsidR="00E2408D" w:rsidRPr="00F26B99">
          <w:rPr>
            <w:rStyle w:val="Hyperlink"/>
            <w:b/>
          </w:rPr>
          <w:t>Sprintax</w:t>
        </w:r>
      </w:hyperlink>
      <w:r w:rsidR="00E2408D" w:rsidRPr="00E2408D">
        <w:rPr>
          <w:b/>
        </w:rPr>
        <w:t xml:space="preserve"> Educational Tax Videos</w:t>
      </w:r>
      <w:r w:rsidR="00E2408D">
        <w:rPr>
          <w:b/>
        </w:rPr>
        <w:t xml:space="preserve"> and Blog</w:t>
      </w:r>
      <w:r w:rsidR="00E2408D" w:rsidRPr="00E2408D">
        <w:rPr>
          <w:b/>
        </w:rPr>
        <w:t>:</w:t>
      </w:r>
    </w:p>
    <w:p w14:paraId="077579CE" w14:textId="77777777" w:rsidR="00036254" w:rsidRDefault="00E2408D" w:rsidP="000E5899">
      <w:r>
        <w:t xml:space="preserve">You also have access to the </w:t>
      </w:r>
      <w:hyperlink r:id="rId31" w:history="1">
        <w:r w:rsidRPr="00E2408D">
          <w:rPr>
            <w:rStyle w:val="Hyperlink"/>
          </w:rPr>
          <w:t>Sprintax YouTube account</w:t>
        </w:r>
      </w:hyperlink>
      <w:r>
        <w:t xml:space="preserve"> where there are a number of educational videos on </w:t>
      </w:r>
      <w:proofErr w:type="spellStart"/>
      <w:r>
        <w:t>nonresident</w:t>
      </w:r>
      <w:proofErr w:type="spellEnd"/>
      <w:r>
        <w:t xml:space="preserve"> taxes</w:t>
      </w:r>
      <w:r w:rsidR="00A30BFE">
        <w:t xml:space="preserve">. These will </w:t>
      </w:r>
      <w:r>
        <w:t>provide further clarity on</w:t>
      </w:r>
      <w:r w:rsidR="00A30BFE">
        <w:t xml:space="preserve"> </w:t>
      </w:r>
      <w:proofErr w:type="spellStart"/>
      <w:r w:rsidR="00A30BFE">
        <w:t>nonresident</w:t>
      </w:r>
      <w:proofErr w:type="spellEnd"/>
      <w:r w:rsidR="00A30BFE">
        <w:t xml:space="preserve"> tax and</w:t>
      </w:r>
      <w:r>
        <w:t xml:space="preserve"> </w:t>
      </w:r>
      <w:r w:rsidR="00A30BFE">
        <w:t>how to use</w:t>
      </w:r>
      <w:r>
        <w:t xml:space="preserve"> Sprintax. </w:t>
      </w:r>
      <w:r w:rsidR="00036254">
        <w:t xml:space="preserve">Sprintax also offer a range of useful content on their </w:t>
      </w:r>
      <w:hyperlink r:id="rId32" w:history="1">
        <w:r w:rsidR="00036254">
          <w:rPr>
            <w:rStyle w:val="Hyperlink"/>
          </w:rPr>
          <w:t>b</w:t>
        </w:r>
        <w:r w:rsidRPr="00E2408D">
          <w:rPr>
            <w:rStyle w:val="Hyperlink"/>
          </w:rPr>
          <w:t>log</w:t>
        </w:r>
      </w:hyperlink>
      <w:r>
        <w:t xml:space="preserve"> </w:t>
      </w:r>
      <w:r w:rsidR="00036254">
        <w:t>to help you file your return.</w:t>
      </w:r>
    </w:p>
    <w:p w14:paraId="756F946B" w14:textId="2031C7C6" w:rsidR="001E608F" w:rsidRDefault="001E608F" w:rsidP="001E608F">
      <w:pPr>
        <w:pStyle w:val="xmsonormal"/>
      </w:pPr>
      <w:bookmarkStart w:id="0" w:name="_GoBack"/>
      <w:bookmarkEnd w:id="0"/>
      <w:r>
        <w:rPr>
          <w:rFonts w:ascii="Calibri" w:hAnsi="Calibri" w:cs="Calibri"/>
          <w:color w:val="000000"/>
        </w:rPr>
        <w:t>DISCLAIMER: International Student &amp; Scholar Services (ISSS) and the school are NOT permitted to assist any student/scholar with any IRS tax form preparation or tax related questions. The information provided is intended for your benefit. </w:t>
      </w:r>
      <w:r w:rsidRPr="001E608F">
        <w:rPr>
          <w:rFonts w:ascii="Calibri" w:hAnsi="Calibri" w:cs="Calibri"/>
          <w:bCs/>
          <w:color w:val="000000"/>
          <w:shd w:val="clear" w:color="auto" w:fill="FFFFFF"/>
        </w:rPr>
        <w:t>North Carolina Central University bears no responsibility for and is released of all liability for outcomes or results due to student use of the program.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</w:rPr>
        <w:t xml:space="preserve">Any questions or concerns should be directed to </w:t>
      </w:r>
      <w:hyperlink r:id="rId33" w:history="1">
        <w:r w:rsidRPr="001E608F">
          <w:rPr>
            <w:rStyle w:val="Hyperlink"/>
            <w:rFonts w:ascii="Calibri" w:hAnsi="Calibri" w:cs="Calibri"/>
          </w:rPr>
          <w:t>Sprintax</w:t>
        </w:r>
      </w:hyperlink>
      <w:r>
        <w:rPr>
          <w:rFonts w:ascii="Calibri" w:hAnsi="Calibri" w:cs="Calibri"/>
          <w:color w:val="000000"/>
        </w:rPr>
        <w:t>, a certified tax preparer or a local IRS field office.</w:t>
      </w:r>
    </w:p>
    <w:p w14:paraId="509C7D8A" w14:textId="77777777" w:rsidR="000E5899" w:rsidRPr="000E5899" w:rsidRDefault="000E5899" w:rsidP="000E5899"/>
    <w:p w14:paraId="1E8906DA" w14:textId="77777777" w:rsidR="001151AE" w:rsidRPr="000E5899" w:rsidRDefault="001151AE" w:rsidP="000E5899"/>
    <w:sectPr w:rsidR="001151AE" w:rsidRPr="000E5899" w:rsidSect="00004C0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79ED" w14:textId="77777777" w:rsidR="00712F76" w:rsidRDefault="00712F76" w:rsidP="00004C0C">
      <w:pPr>
        <w:spacing w:after="0" w:line="240" w:lineRule="auto"/>
      </w:pPr>
      <w:r>
        <w:separator/>
      </w:r>
    </w:p>
  </w:endnote>
  <w:endnote w:type="continuationSeparator" w:id="0">
    <w:p w14:paraId="5DBA0F4B" w14:textId="77777777" w:rsidR="00712F76" w:rsidRDefault="00712F76" w:rsidP="0000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E7D5" w14:textId="77777777" w:rsidR="00556FF3" w:rsidRDefault="00556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E4F1" w14:textId="64868907" w:rsidR="00004C0C" w:rsidRPr="00556FF3" w:rsidRDefault="00004C0C" w:rsidP="00004C0C">
    <w:pPr>
      <w:pStyle w:val="Footer"/>
      <w:pBdr>
        <w:top w:val="single" w:sz="4" w:space="1" w:color="auto"/>
      </w:pBdr>
      <w:rPr>
        <w:sz w:val="16"/>
        <w:szCs w:val="16"/>
        <w:lang w:val="bg-BG"/>
      </w:rPr>
    </w:pPr>
    <w:r>
      <w:rPr>
        <w:sz w:val="16"/>
        <w:szCs w:val="16"/>
      </w:rPr>
      <w:t xml:space="preserve">Confidential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Tax Content for Schools Website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063AFC">
      <w:rPr>
        <w:sz w:val="16"/>
        <w:szCs w:val="16"/>
      </w:rPr>
      <w:t xml:space="preserve">Page </w:t>
    </w:r>
    <w:r w:rsidRPr="00063AFC">
      <w:rPr>
        <w:sz w:val="16"/>
        <w:szCs w:val="16"/>
      </w:rPr>
      <w:fldChar w:fldCharType="begin"/>
    </w:r>
    <w:r w:rsidRPr="00063AFC">
      <w:rPr>
        <w:sz w:val="16"/>
        <w:szCs w:val="16"/>
      </w:rPr>
      <w:instrText xml:space="preserve"> PAGE  \* Arabic  \* MERGEFORMAT </w:instrText>
    </w:r>
    <w:r w:rsidRPr="00063AFC">
      <w:rPr>
        <w:sz w:val="16"/>
        <w:szCs w:val="16"/>
      </w:rPr>
      <w:fldChar w:fldCharType="separate"/>
    </w:r>
    <w:r w:rsidR="002E4AE9">
      <w:rPr>
        <w:noProof/>
        <w:sz w:val="16"/>
        <w:szCs w:val="16"/>
      </w:rPr>
      <w:t>4</w:t>
    </w:r>
    <w:r w:rsidRPr="00063AFC">
      <w:rPr>
        <w:sz w:val="16"/>
        <w:szCs w:val="16"/>
      </w:rPr>
      <w:fldChar w:fldCharType="end"/>
    </w:r>
    <w:r w:rsidRPr="00063AFC">
      <w:rPr>
        <w:sz w:val="16"/>
        <w:szCs w:val="16"/>
      </w:rPr>
      <w:t xml:space="preserve"> of </w:t>
    </w:r>
    <w:r w:rsidRPr="00063AFC">
      <w:rPr>
        <w:sz w:val="16"/>
        <w:szCs w:val="16"/>
      </w:rPr>
      <w:fldChar w:fldCharType="begin"/>
    </w:r>
    <w:r w:rsidRPr="00063AFC">
      <w:rPr>
        <w:sz w:val="16"/>
        <w:szCs w:val="16"/>
      </w:rPr>
      <w:instrText xml:space="preserve"> NUMPAGES  \* Arabic  \* MERGEFORMAT </w:instrText>
    </w:r>
    <w:r w:rsidRPr="00063AFC">
      <w:rPr>
        <w:sz w:val="16"/>
        <w:szCs w:val="16"/>
      </w:rPr>
      <w:fldChar w:fldCharType="separate"/>
    </w:r>
    <w:r w:rsidR="002E4AE9">
      <w:rPr>
        <w:noProof/>
        <w:sz w:val="16"/>
        <w:szCs w:val="16"/>
      </w:rPr>
      <w:t>4</w:t>
    </w:r>
    <w:r w:rsidRPr="00063AFC">
      <w:rPr>
        <w:sz w:val="16"/>
        <w:szCs w:val="16"/>
      </w:rPr>
      <w:fldChar w:fldCharType="end"/>
    </w:r>
    <w:r w:rsidR="00556FF3">
      <w:rPr>
        <w:sz w:val="16"/>
        <w:szCs w:val="16"/>
      </w:rPr>
      <w:t xml:space="preserve">          </w:t>
    </w:r>
    <w:r w:rsidR="00556FF3">
      <w:rPr>
        <w:sz w:val="16"/>
        <w:szCs w:val="16"/>
      </w:rPr>
      <w:tab/>
      <w:t>2020</w:t>
    </w:r>
  </w:p>
  <w:p w14:paraId="17B9B61D" w14:textId="77777777" w:rsidR="00004C0C" w:rsidRDefault="00004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1AFA" w14:textId="77777777" w:rsidR="00556FF3" w:rsidRDefault="0055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AA1C" w14:textId="77777777" w:rsidR="00712F76" w:rsidRDefault="00712F76" w:rsidP="00004C0C">
      <w:pPr>
        <w:spacing w:after="0" w:line="240" w:lineRule="auto"/>
      </w:pPr>
      <w:r>
        <w:separator/>
      </w:r>
    </w:p>
  </w:footnote>
  <w:footnote w:type="continuationSeparator" w:id="0">
    <w:p w14:paraId="4403A3BE" w14:textId="77777777" w:rsidR="00712F76" w:rsidRDefault="00712F76" w:rsidP="0000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7428" w14:textId="77777777" w:rsidR="00556FF3" w:rsidRDefault="00556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0375" w14:textId="77777777" w:rsidR="00004C0C" w:rsidRDefault="00004C0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775AF8" wp14:editId="63E9AA8B">
          <wp:simplePos x="0" y="0"/>
          <wp:positionH relativeFrom="column">
            <wp:posOffset>565785</wp:posOffset>
          </wp:positionH>
          <wp:positionV relativeFrom="paragraph">
            <wp:posOffset>-325120</wp:posOffset>
          </wp:positionV>
          <wp:extent cx="4081780" cy="868045"/>
          <wp:effectExtent l="0" t="0" r="0" b="825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printa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178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C9E1" w14:textId="77777777" w:rsidR="00556FF3" w:rsidRDefault="00556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471"/>
    <w:multiLevelType w:val="hybridMultilevel"/>
    <w:tmpl w:val="93ACC72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625E"/>
    <w:multiLevelType w:val="multilevel"/>
    <w:tmpl w:val="0AE2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D15"/>
    <w:multiLevelType w:val="hybridMultilevel"/>
    <w:tmpl w:val="5B10FB12"/>
    <w:lvl w:ilvl="0" w:tplc="684E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C8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06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8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66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88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AB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4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99"/>
    <w:rsid w:val="00004C0C"/>
    <w:rsid w:val="00025966"/>
    <w:rsid w:val="00031423"/>
    <w:rsid w:val="00036254"/>
    <w:rsid w:val="00064B5B"/>
    <w:rsid w:val="000C7E90"/>
    <w:rsid w:val="000E5899"/>
    <w:rsid w:val="000F549C"/>
    <w:rsid w:val="00113D95"/>
    <w:rsid w:val="001151AE"/>
    <w:rsid w:val="001442E2"/>
    <w:rsid w:val="00192430"/>
    <w:rsid w:val="001E608F"/>
    <w:rsid w:val="0024038E"/>
    <w:rsid w:val="002469FE"/>
    <w:rsid w:val="0028734C"/>
    <w:rsid w:val="002E4AE9"/>
    <w:rsid w:val="00382DD9"/>
    <w:rsid w:val="003923BF"/>
    <w:rsid w:val="003D344A"/>
    <w:rsid w:val="003F0C5B"/>
    <w:rsid w:val="003F2FA9"/>
    <w:rsid w:val="00424C08"/>
    <w:rsid w:val="00463A54"/>
    <w:rsid w:val="004F2CAF"/>
    <w:rsid w:val="00531237"/>
    <w:rsid w:val="00531D6E"/>
    <w:rsid w:val="00556FF3"/>
    <w:rsid w:val="00576AD3"/>
    <w:rsid w:val="005D6305"/>
    <w:rsid w:val="005F1809"/>
    <w:rsid w:val="00631B72"/>
    <w:rsid w:val="00632BDE"/>
    <w:rsid w:val="006958E3"/>
    <w:rsid w:val="006D33EA"/>
    <w:rsid w:val="00712F76"/>
    <w:rsid w:val="00751484"/>
    <w:rsid w:val="00794B9C"/>
    <w:rsid w:val="007A2123"/>
    <w:rsid w:val="007E1FEE"/>
    <w:rsid w:val="008302E2"/>
    <w:rsid w:val="0086083D"/>
    <w:rsid w:val="008B564B"/>
    <w:rsid w:val="00930258"/>
    <w:rsid w:val="009C57DB"/>
    <w:rsid w:val="00A30BFE"/>
    <w:rsid w:val="00A412FF"/>
    <w:rsid w:val="00A97655"/>
    <w:rsid w:val="00AA106F"/>
    <w:rsid w:val="00AE4A5C"/>
    <w:rsid w:val="00B7158A"/>
    <w:rsid w:val="00BE2503"/>
    <w:rsid w:val="00BE4736"/>
    <w:rsid w:val="00D03388"/>
    <w:rsid w:val="00D2316D"/>
    <w:rsid w:val="00DD23E3"/>
    <w:rsid w:val="00E2408D"/>
    <w:rsid w:val="00E34E15"/>
    <w:rsid w:val="00EF3B95"/>
    <w:rsid w:val="00F00587"/>
    <w:rsid w:val="00F26B99"/>
    <w:rsid w:val="00F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227F925"/>
  <w15:chartTrackingRefBased/>
  <w15:docId w15:val="{2A894E35-90E3-4A39-838E-CFB140BA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1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8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4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1F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1FEE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E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0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0C"/>
  </w:style>
  <w:style w:type="paragraph" w:styleId="Footer">
    <w:name w:val="footer"/>
    <w:basedOn w:val="Normal"/>
    <w:link w:val="FooterChar"/>
    <w:uiPriority w:val="99"/>
    <w:unhideWhenUsed/>
    <w:rsid w:val="0000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0C"/>
  </w:style>
  <w:style w:type="character" w:styleId="CommentReference">
    <w:name w:val="annotation reference"/>
    <w:basedOn w:val="DefaultParagraphFont"/>
    <w:uiPriority w:val="99"/>
    <w:semiHidden/>
    <w:unhideWhenUsed/>
    <w:rsid w:val="00A30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F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E608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2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4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sprintax.com/nccu" TargetMode="External"/><Relationship Id="rId26" Type="http://schemas.openxmlformats.org/officeDocument/2006/relationships/hyperlink" Target="https://www.sprintax.com/nccu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sprintax.com/nccu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irs.gov/Individuals/International-Taxpayers/Substantial-Presence-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rintax.com/nccu" TargetMode="External"/><Relationship Id="rId20" Type="http://schemas.openxmlformats.org/officeDocument/2006/relationships/hyperlink" Target="https://www.sprintax.com/nccu" TargetMode="External"/><Relationship Id="rId29" Type="http://schemas.openxmlformats.org/officeDocument/2006/relationships/hyperlink" Target="https://www.sprintax.com/faq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rintax.com/nccu" TargetMode="External"/><Relationship Id="rId24" Type="http://schemas.openxmlformats.org/officeDocument/2006/relationships/hyperlink" Target="https://www.sprintax.com/nccu" TargetMode="External"/><Relationship Id="rId32" Type="http://schemas.openxmlformats.org/officeDocument/2006/relationships/hyperlink" Target="http://blog.sprintax.com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94.cbp.dhs.gov/I94/" TargetMode="External"/><Relationship Id="rId23" Type="http://schemas.openxmlformats.org/officeDocument/2006/relationships/hyperlink" Target="https://www.sprintax.com/nccu" TargetMode="External"/><Relationship Id="rId28" Type="http://schemas.openxmlformats.org/officeDocument/2006/relationships/hyperlink" Target="mailto:hello@sprintax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sprintax.com/nccu" TargetMode="External"/><Relationship Id="rId19" Type="http://schemas.openxmlformats.org/officeDocument/2006/relationships/hyperlink" Target="https://www.sprintax.com/nccu" TargetMode="External"/><Relationship Id="rId31" Type="http://schemas.openxmlformats.org/officeDocument/2006/relationships/hyperlink" Target="https://www.youtube.com/user/Sprintax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intax.com/nccu" TargetMode="External"/><Relationship Id="rId14" Type="http://schemas.openxmlformats.org/officeDocument/2006/relationships/hyperlink" Target="https://www.sprintax.com/nccu" TargetMode="External"/><Relationship Id="rId22" Type="http://schemas.openxmlformats.org/officeDocument/2006/relationships/hyperlink" Target="https://www.sprintax.com/nccu" TargetMode="External"/><Relationship Id="rId27" Type="http://schemas.openxmlformats.org/officeDocument/2006/relationships/hyperlink" Target="https://www.sprintax.com/nccu" TargetMode="External"/><Relationship Id="rId30" Type="http://schemas.openxmlformats.org/officeDocument/2006/relationships/hyperlink" Target="https://www.sprintax.com/nccu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sprintax.com/ncc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printax.com/nccu" TargetMode="External"/><Relationship Id="rId17" Type="http://schemas.openxmlformats.org/officeDocument/2006/relationships/hyperlink" Target="https://www.sprintax.com/nccu" TargetMode="External"/><Relationship Id="rId25" Type="http://schemas.openxmlformats.org/officeDocument/2006/relationships/hyperlink" Target="https://www.sprintax.com/nccu" TargetMode="External"/><Relationship Id="rId33" Type="http://schemas.openxmlformats.org/officeDocument/2006/relationships/hyperlink" Target="https://www.sprintax.com/nccu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Taxback Company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Ludden</dc:creator>
  <cp:keywords/>
  <dc:description/>
  <cp:lastModifiedBy>Lewis, Brenda</cp:lastModifiedBy>
  <cp:revision>3</cp:revision>
  <dcterms:created xsi:type="dcterms:W3CDTF">2021-03-24T18:15:00Z</dcterms:created>
  <dcterms:modified xsi:type="dcterms:W3CDTF">2021-03-24T18:15:00Z</dcterms:modified>
</cp:coreProperties>
</file>